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02" w:rsidRDefault="00187002" w:rsidP="00187002">
      <w:pPr>
        <w:ind w:left="851"/>
      </w:pPr>
      <w:r w:rsidRPr="00187002">
        <w:rPr>
          <w:noProof/>
          <w:lang w:eastAsia="nl-N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909320</wp:posOffset>
            </wp:positionH>
            <wp:positionV relativeFrom="paragraph">
              <wp:posOffset>-245745</wp:posOffset>
            </wp:positionV>
            <wp:extent cx="3990975" cy="2828925"/>
            <wp:effectExtent l="0" t="0" r="0" b="0"/>
            <wp:wrapSquare wrapText="bothSides"/>
            <wp:docPr id="13" name="Grafie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187002" w:rsidRDefault="00187002" w:rsidP="00187002">
      <w:pPr>
        <w:ind w:left="851"/>
      </w:pPr>
    </w:p>
    <w:p w:rsidR="00187002" w:rsidRDefault="00187002" w:rsidP="00187002">
      <w:pPr>
        <w:ind w:left="851"/>
      </w:pPr>
    </w:p>
    <w:p w:rsidR="00187002" w:rsidRDefault="00187002" w:rsidP="00187002">
      <w:pPr>
        <w:ind w:left="851"/>
      </w:pPr>
    </w:p>
    <w:p w:rsidR="00187002" w:rsidRDefault="00187002" w:rsidP="00187002">
      <w:pPr>
        <w:ind w:left="851"/>
      </w:pPr>
    </w:p>
    <w:p w:rsidR="00187002" w:rsidRDefault="00187002" w:rsidP="00187002">
      <w:pPr>
        <w:ind w:left="851"/>
      </w:pPr>
    </w:p>
    <w:p w:rsidR="00187002" w:rsidRDefault="00187002" w:rsidP="00187002">
      <w:pPr>
        <w:ind w:left="851"/>
      </w:pPr>
    </w:p>
    <w:p w:rsidR="00187002" w:rsidRDefault="00187002" w:rsidP="00187002">
      <w:pPr>
        <w:spacing w:after="0"/>
        <w:ind w:left="851"/>
        <w:rPr>
          <w:rFonts w:ascii="Times New Roman" w:eastAsia="Times New Roman" w:hAnsi="Times New Roman" w:cs="Times New Roman"/>
          <w:b/>
          <w:iCs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nl-N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121285</wp:posOffset>
            </wp:positionV>
            <wp:extent cx="704850" cy="704850"/>
            <wp:effectExtent l="19050" t="0" r="0" b="0"/>
            <wp:wrapNone/>
            <wp:docPr id="1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002" w:rsidRDefault="00187002" w:rsidP="00187002">
      <w:pPr>
        <w:spacing w:after="0"/>
        <w:ind w:left="851"/>
        <w:rPr>
          <w:rFonts w:ascii="Times New Roman" w:eastAsia="Times New Roman" w:hAnsi="Times New Roman" w:cs="Times New Roman"/>
          <w:b/>
          <w:iCs/>
          <w:sz w:val="24"/>
          <w:szCs w:val="24"/>
          <w:lang w:eastAsia="nl-NL"/>
        </w:rPr>
      </w:pPr>
    </w:p>
    <w:p w:rsidR="00187002" w:rsidRDefault="00187002" w:rsidP="00187002">
      <w:pPr>
        <w:spacing w:after="0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r w:rsidRPr="0063209F">
        <w:rPr>
          <w:rFonts w:ascii="Times New Roman" w:eastAsia="Times New Roman" w:hAnsi="Times New Roman" w:cs="Times New Roman"/>
          <w:b/>
          <w:iCs/>
          <w:sz w:val="24"/>
          <w:szCs w:val="24"/>
          <w:lang w:eastAsia="nl-NL"/>
        </w:rPr>
        <w:t>Wonen</w:t>
      </w:r>
    </w:p>
    <w:p w:rsidR="001E4BE4" w:rsidRDefault="000C1EBC" w:rsidP="00187002">
      <w:pPr>
        <w:spacing w:after="0"/>
        <w:ind w:left="851"/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Er is</w:t>
      </w:r>
      <w:r w:rsidR="001870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een woonruimte waar</w:t>
      </w:r>
      <w:r w:rsidR="00D137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men veilig is en zich thuis voelt.</w:t>
      </w:r>
      <w:r w:rsidR="001870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Het </w:t>
      </w:r>
      <w:r w:rsidR="001870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bewaren van deze veilige en stabiele woonruimte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is </w:t>
      </w:r>
      <w:r w:rsidR="001870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geregeld, </w:t>
      </w:r>
      <w:r w:rsidR="00187002" w:rsidRPr="004F2F26">
        <w:rPr>
          <w:rFonts w:ascii="Times New Roman" w:eastAsia="Times New Roman" w:hAnsi="Times New Roman" w:cs="Times New Roman"/>
          <w:sz w:val="24"/>
          <w:szCs w:val="24"/>
          <w:lang w:eastAsia="nl-NL"/>
        </w:rPr>
        <w:t>denk hierbij aan aspecten als financiering, onde</w:t>
      </w:r>
      <w:r w:rsidR="00187002">
        <w:rPr>
          <w:rFonts w:ascii="Times New Roman" w:eastAsia="Times New Roman" w:hAnsi="Times New Roman" w:cs="Times New Roman"/>
          <w:sz w:val="24"/>
          <w:szCs w:val="24"/>
          <w:lang w:eastAsia="nl-NL"/>
        </w:rPr>
        <w:t>rhoud/reparaties, of aanschaf/</w:t>
      </w:r>
      <w:r w:rsidR="00187002" w:rsidRPr="004F2F26">
        <w:rPr>
          <w:rFonts w:ascii="Times New Roman" w:eastAsia="Times New Roman" w:hAnsi="Times New Roman" w:cs="Times New Roman"/>
          <w:sz w:val="24"/>
          <w:szCs w:val="24"/>
          <w:lang w:eastAsia="nl-NL"/>
        </w:rPr>
        <w:t>vervanging van inboedel</w:t>
      </w:r>
      <w:r w:rsidR="00187002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="00187002" w:rsidRPr="00397F0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</w:t>
      </w:r>
      <w:r w:rsidR="001870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 woonomgeving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is </w:t>
      </w:r>
      <w:r w:rsidR="0018700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schoon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 wordt </w:t>
      </w:r>
      <w:r w:rsidR="00187002">
        <w:rPr>
          <w:rFonts w:ascii="Times New Roman" w:eastAsia="Times New Roman" w:hAnsi="Times New Roman" w:cs="Times New Roman"/>
          <w:sz w:val="24"/>
          <w:szCs w:val="24"/>
          <w:lang w:eastAsia="nl-NL"/>
        </w:rPr>
        <w:t>verzorg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t, dit is gepland en georganiseerd</w:t>
      </w:r>
      <w:r w:rsidR="00187002">
        <w:rPr>
          <w:rFonts w:ascii="Times New Roman" w:eastAsia="Times New Roman" w:hAnsi="Times New Roman" w:cs="Times New Roman"/>
          <w:sz w:val="24"/>
          <w:szCs w:val="24"/>
          <w:lang w:eastAsia="nl-NL"/>
        </w:rPr>
        <w:t>, inclusief de zorg voor anderen (bv. kinderen</w:t>
      </w:r>
      <w:r w:rsidR="0088328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en/of huisdieren</w:t>
      </w:r>
      <w:r w:rsidR="00187002">
        <w:rPr>
          <w:rFonts w:ascii="Times New Roman" w:eastAsia="Times New Roman" w:hAnsi="Times New Roman" w:cs="Times New Roman"/>
          <w:sz w:val="24"/>
          <w:szCs w:val="24"/>
          <w:lang w:eastAsia="nl-NL"/>
        </w:rPr>
        <w:t>).</w:t>
      </w:r>
    </w:p>
    <w:p w:rsidR="00187002" w:rsidRPr="00187002" w:rsidRDefault="00CC4B21" w:rsidP="00187002">
      <w:pPr>
        <w:spacing w:after="0"/>
        <w:ind w:left="851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4445</wp:posOffset>
            </wp:positionV>
            <wp:extent cx="704850" cy="704850"/>
            <wp:effectExtent l="19050" t="0" r="0" b="0"/>
            <wp:wrapSquare wrapText="bothSides"/>
            <wp:docPr id="8" name="Afbeelding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002" w:rsidRPr="00187002" w:rsidRDefault="00187002" w:rsidP="00187002">
      <w:pPr>
        <w:spacing w:after="0"/>
        <w:ind w:left="851"/>
        <w:rPr>
          <w:sz w:val="16"/>
          <w:szCs w:val="16"/>
        </w:rPr>
      </w:pPr>
    </w:p>
    <w:p w:rsidR="00187002" w:rsidRDefault="00187002" w:rsidP="00187002">
      <w:pPr>
        <w:spacing w:after="0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r w:rsidRPr="0063209F">
        <w:rPr>
          <w:rFonts w:ascii="Times New Roman" w:eastAsia="Times New Roman" w:hAnsi="Times New Roman" w:cs="Times New Roman"/>
          <w:b/>
          <w:iCs/>
          <w:sz w:val="24"/>
          <w:szCs w:val="24"/>
          <w:lang w:eastAsia="nl-NL"/>
        </w:rPr>
        <w:t>Financiën</w:t>
      </w:r>
    </w:p>
    <w:p w:rsidR="00187002" w:rsidRDefault="00883283" w:rsidP="00187002">
      <w:pPr>
        <w:spacing w:after="0"/>
        <w:ind w:left="851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Er zijn </w:t>
      </w:r>
      <w:r w:rsidR="00187002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voldoende financiële middelen om maandelijks uit te komen. Het organiseren van de administratie en financiën is geregeld. </w:t>
      </w:r>
    </w:p>
    <w:p w:rsidR="00187002" w:rsidRPr="00187002" w:rsidRDefault="00187002" w:rsidP="00187002">
      <w:pPr>
        <w:spacing w:after="0"/>
        <w:ind w:left="851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6985</wp:posOffset>
            </wp:positionV>
            <wp:extent cx="704850" cy="704850"/>
            <wp:effectExtent l="19050" t="0" r="0" b="0"/>
            <wp:wrapSquare wrapText="bothSides"/>
            <wp:docPr id="9" name="Afbeelding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002" w:rsidRPr="00187002" w:rsidRDefault="00187002" w:rsidP="00187002">
      <w:pPr>
        <w:spacing w:after="0"/>
        <w:ind w:left="851"/>
        <w:rPr>
          <w:sz w:val="16"/>
          <w:szCs w:val="16"/>
        </w:rPr>
      </w:pPr>
    </w:p>
    <w:p w:rsidR="00187002" w:rsidRDefault="00187002" w:rsidP="00187002">
      <w:pPr>
        <w:spacing w:after="0"/>
        <w:ind w:left="880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  <w:r w:rsidRPr="0063209F">
        <w:rPr>
          <w:rFonts w:ascii="Times New Roman" w:eastAsia="Times New Roman" w:hAnsi="Times New Roman" w:cs="Times New Roman"/>
          <w:b/>
          <w:iCs/>
          <w:sz w:val="24"/>
          <w:szCs w:val="24"/>
          <w:lang w:eastAsia="nl-NL"/>
        </w:rPr>
        <w:t>Daginvulling</w:t>
      </w:r>
    </w:p>
    <w:p w:rsidR="0041232B" w:rsidRDefault="00187002" w:rsidP="0041232B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Men is tevreden met de dag-/weekinvulling en veroorzaakt geen overlast. </w:t>
      </w:r>
      <w:r w:rsidR="0088328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Er is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zekere mate van structuur en een gezond </w:t>
      </w:r>
      <w:proofErr w:type="spellStart"/>
      <w:r w:rsidRPr="00A628A9">
        <w:rPr>
          <w:rFonts w:ascii="Times New Roman" w:hAnsi="Times New Roman" w:cs="Times New Roman"/>
          <w:sz w:val="24"/>
          <w:szCs w:val="24"/>
        </w:rPr>
        <w:t>dag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628A9">
        <w:rPr>
          <w:rFonts w:ascii="Times New Roman" w:hAnsi="Times New Roman" w:cs="Times New Roman"/>
          <w:sz w:val="24"/>
          <w:szCs w:val="24"/>
        </w:rPr>
        <w:t>nachtritme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1232B" w:rsidRPr="0041232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41232B" w:rsidRPr="00187002" w:rsidRDefault="0041232B" w:rsidP="0041232B">
      <w:pPr>
        <w:spacing w:after="0"/>
        <w:ind w:left="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nl-N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5080</wp:posOffset>
            </wp:positionV>
            <wp:extent cx="704850" cy="704850"/>
            <wp:effectExtent l="19050" t="0" r="0" b="0"/>
            <wp:wrapSquare wrapText="bothSides"/>
            <wp:docPr id="1" name="Afbeelding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32B" w:rsidRPr="00187002" w:rsidRDefault="0041232B" w:rsidP="0041232B">
      <w:pPr>
        <w:spacing w:after="0"/>
        <w:ind w:left="851"/>
        <w:rPr>
          <w:rFonts w:ascii="Times New Roman" w:hAnsi="Times New Roman" w:cs="Times New Roman"/>
          <w:sz w:val="16"/>
          <w:szCs w:val="16"/>
        </w:rPr>
      </w:pPr>
    </w:p>
    <w:p w:rsidR="0041232B" w:rsidRDefault="0041232B" w:rsidP="0041232B">
      <w:pPr>
        <w:spacing w:after="0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nl-NL"/>
        </w:rPr>
        <w:t>Relaties</w:t>
      </w:r>
      <w:r w:rsidRPr="000F5DBE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</w:p>
    <w:p w:rsidR="0041232B" w:rsidRDefault="00D137AB" w:rsidP="0041232B">
      <w:pPr>
        <w:spacing w:after="0"/>
        <w:ind w:left="851"/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Er zijn voldoende sociale contacten </w:t>
      </w:r>
      <w:r w:rsidR="0041232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men </w:t>
      </w:r>
      <w:r w:rsidR="0041232B">
        <w:rPr>
          <w:rFonts w:ascii="Times New Roman" w:eastAsia="Times New Roman" w:hAnsi="Times New Roman" w:cs="Times New Roman"/>
          <w:sz w:val="24"/>
          <w:szCs w:val="24"/>
          <w:lang w:eastAsia="nl-NL"/>
        </w:rPr>
        <w:t>is in staat deze te onderhouden en/of weet hoe nieuwe contacten aan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 </w:t>
      </w:r>
      <w:r w:rsidR="0041232B">
        <w:rPr>
          <w:rFonts w:ascii="Times New Roman" w:eastAsia="Times New Roman" w:hAnsi="Times New Roman" w:cs="Times New Roman"/>
          <w:sz w:val="24"/>
          <w:szCs w:val="24"/>
          <w:lang w:eastAsia="nl-NL"/>
        </w:rPr>
        <w:t>gaa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n</w:t>
      </w:r>
      <w:r w:rsidR="0041232B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41232B" w:rsidRPr="0041232B" w:rsidRDefault="0041232B" w:rsidP="0041232B">
      <w:pPr>
        <w:spacing w:after="0"/>
        <w:ind w:left="851"/>
        <w:rPr>
          <w:rFonts w:ascii="Times New Roman" w:hAnsi="Times New Roman" w:cs="Times New Roman"/>
          <w:sz w:val="16"/>
          <w:szCs w:val="16"/>
        </w:rPr>
      </w:pPr>
    </w:p>
    <w:p w:rsidR="0041232B" w:rsidRPr="0041232B" w:rsidRDefault="0041232B" w:rsidP="0041232B">
      <w:pPr>
        <w:spacing w:after="0"/>
        <w:ind w:left="851"/>
        <w:rPr>
          <w:rFonts w:ascii="Times New Roman" w:hAnsi="Times New Roman" w:cs="Times New Roman"/>
          <w:b/>
          <w:iCs/>
          <w:sz w:val="16"/>
          <w:szCs w:val="16"/>
        </w:rPr>
      </w:pPr>
    </w:p>
    <w:p w:rsidR="00187002" w:rsidRPr="00397F06" w:rsidRDefault="00187002" w:rsidP="0041232B">
      <w:pPr>
        <w:spacing w:after="0"/>
        <w:ind w:left="851"/>
        <w:rPr>
          <w:b/>
          <w:iCs/>
        </w:rPr>
      </w:pPr>
      <w:r w:rsidRPr="009C584C">
        <w:rPr>
          <w:rFonts w:ascii="Times New Roman" w:eastAsia="Times New Roman" w:hAnsi="Times New Roman" w:cs="Times New Roman"/>
          <w:b/>
          <w:iCs/>
          <w:sz w:val="24"/>
          <w:szCs w:val="24"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1270</wp:posOffset>
            </wp:positionV>
            <wp:extent cx="704850" cy="704850"/>
            <wp:effectExtent l="19050" t="0" r="0" b="0"/>
            <wp:wrapSquare wrapText="bothSides"/>
            <wp:docPr id="10" name="Afbeelding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84C">
        <w:rPr>
          <w:rFonts w:ascii="Times New Roman" w:eastAsia="Times New Roman" w:hAnsi="Times New Roman" w:cs="Times New Roman"/>
          <w:b/>
          <w:iCs/>
          <w:sz w:val="24"/>
          <w:szCs w:val="24"/>
          <w:lang w:eastAsia="nl-NL"/>
        </w:rPr>
        <w:t>Zorg</w:t>
      </w:r>
      <w:r w:rsidRPr="00397F06">
        <w:rPr>
          <w:b/>
          <w:iCs/>
        </w:rPr>
        <w:t xml:space="preserve"> </w:t>
      </w:r>
    </w:p>
    <w:p w:rsidR="00187002" w:rsidRDefault="00187002" w:rsidP="00187002">
      <w:pPr>
        <w:pStyle w:val="Normaalweb"/>
        <w:spacing w:before="0" w:beforeAutospacing="0" w:after="0" w:afterAutospacing="0" w:line="276" w:lineRule="auto"/>
        <w:ind w:left="851"/>
      </w:pPr>
      <w:r w:rsidRPr="00824F2B">
        <w:rPr>
          <w:i/>
          <w:iCs/>
        </w:rPr>
        <w:t>Lichamelijke gezondheid en zelfzorg</w:t>
      </w:r>
      <w:r>
        <w:rPr>
          <w:iCs/>
        </w:rPr>
        <w:t xml:space="preserve"> -</w:t>
      </w:r>
      <w:r>
        <w:rPr>
          <w:i/>
          <w:iCs/>
        </w:rPr>
        <w:t xml:space="preserve"> </w:t>
      </w:r>
      <w:r>
        <w:t xml:space="preserve">Men is fysieke gezond, verzorgt zichzelf en heeft een goede </w:t>
      </w:r>
      <w:r w:rsidRPr="000F5DBE">
        <w:t>persoonlijke hygiëne.</w:t>
      </w:r>
      <w:r>
        <w:t xml:space="preserve"> Bij </w:t>
      </w:r>
      <w:r w:rsidRPr="000F5DBE">
        <w:t xml:space="preserve">lichamelijke klachten en/of beperkingen </w:t>
      </w:r>
      <w:r w:rsidR="00883283">
        <w:t>wordt</w:t>
      </w:r>
      <w:r>
        <w:t xml:space="preserve"> de benodigde ondersteuning</w:t>
      </w:r>
      <w:r w:rsidR="00883283">
        <w:t xml:space="preserve"> ingezet</w:t>
      </w:r>
      <w:r>
        <w:t>.</w:t>
      </w:r>
    </w:p>
    <w:p w:rsidR="009C584C" w:rsidRPr="009C584C" w:rsidRDefault="009C584C" w:rsidP="00187002">
      <w:pPr>
        <w:pStyle w:val="Normaalweb"/>
        <w:spacing w:before="0" w:beforeAutospacing="0" w:after="0" w:afterAutospacing="0" w:line="276" w:lineRule="auto"/>
        <w:ind w:left="851"/>
        <w:rPr>
          <w:sz w:val="8"/>
          <w:szCs w:val="8"/>
        </w:rPr>
      </w:pPr>
    </w:p>
    <w:p w:rsidR="00187002" w:rsidRDefault="009C584C" w:rsidP="0041232B">
      <w:pPr>
        <w:spacing w:after="0"/>
        <w:ind w:left="851"/>
      </w:pPr>
      <w:r w:rsidRPr="006E7E88">
        <w:rPr>
          <w:rFonts w:ascii="Times New Roman" w:hAnsi="Times New Roman" w:cs="Times New Roman"/>
          <w:noProof/>
          <w:sz w:val="16"/>
          <w:szCs w:val="16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3.15pt;margin-top:131.15pt;width:107.45pt;height:21pt;z-index:251677696;mso-width-relative:margin;mso-height-relative:margin" stroked="f">
            <v:textbox style="mso-next-textbox:#_x0000_s1028">
              <w:txbxContent>
                <w:p w:rsidR="0041232B" w:rsidRPr="002B6CBA" w:rsidRDefault="0041232B" w:rsidP="0041232B">
                  <w:pPr>
                    <w:spacing w:after="0"/>
                    <w:rPr>
                      <w:rFonts w:ascii="Verdana" w:hAnsi="Verdana"/>
                      <w:b/>
                      <w:color w:val="16908C"/>
                      <w:sz w:val="20"/>
                    </w:rPr>
                  </w:pPr>
                  <w:r w:rsidRPr="002B6CBA">
                    <w:rPr>
                      <w:rFonts w:ascii="Verdana" w:hAnsi="Verdana"/>
                      <w:b/>
                      <w:color w:val="16908C"/>
                      <w:sz w:val="20"/>
                    </w:rPr>
                    <w:t>De Duizendpoot</w:t>
                  </w:r>
                </w:p>
                <w:p w:rsidR="0041232B" w:rsidRPr="002B6CBA" w:rsidRDefault="0041232B" w:rsidP="0041232B">
                  <w:pPr>
                    <w:spacing w:after="0"/>
                    <w:rPr>
                      <w:rFonts w:ascii="Verdana" w:hAnsi="Verdana"/>
                      <w:color w:val="16908C"/>
                    </w:rPr>
                  </w:pPr>
                  <w:r w:rsidRPr="002B6CBA">
                    <w:rPr>
                      <w:rFonts w:ascii="Verdana" w:hAnsi="Verdana"/>
                      <w:color w:val="16908C"/>
                    </w:rPr>
                    <w:t xml:space="preserve">    </w:t>
                  </w:r>
                  <w:r w:rsidRPr="002B6CBA">
                    <w:rPr>
                      <w:rFonts w:ascii="Verdana" w:hAnsi="Verdana"/>
                      <w:color w:val="16908C"/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nl-N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4481195</wp:posOffset>
            </wp:positionH>
            <wp:positionV relativeFrom="paragraph">
              <wp:posOffset>1341755</wp:posOffset>
            </wp:positionV>
            <wp:extent cx="581025" cy="590550"/>
            <wp:effectExtent l="19050" t="0" r="9525" b="0"/>
            <wp:wrapNone/>
            <wp:docPr id="2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002" w:rsidRPr="000F5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l-NL"/>
        </w:rPr>
        <w:t>Psychisch</w:t>
      </w:r>
      <w:r w:rsidR="001870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l-NL"/>
        </w:rPr>
        <w:t xml:space="preserve">e gezondheid </w:t>
      </w:r>
      <w:r w:rsidR="00187002" w:rsidRPr="000F5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l-NL"/>
        </w:rPr>
        <w:t xml:space="preserve">en </w:t>
      </w:r>
      <w:r w:rsidR="001870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l-NL"/>
        </w:rPr>
        <w:t>middelengebruik</w:t>
      </w:r>
      <w:r w:rsidR="001870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nl-NL"/>
        </w:rPr>
        <w:t xml:space="preserve"> - </w:t>
      </w:r>
      <w:r w:rsidR="0018700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Men is tevreden over de relatie met zichzelf, het geestelijk welbevinden. Bij psychische en/of verslavingsklachten </w:t>
      </w:r>
      <w:r w:rsidR="00883283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wordt </w:t>
      </w:r>
      <w:r w:rsidR="0018700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de benodigde begeleiding </w:t>
      </w:r>
      <w:r w:rsidR="00883283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ingezet</w:t>
      </w:r>
      <w:r w:rsidR="00D137A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,</w:t>
      </w:r>
      <w:r w:rsidR="00883283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  <w:r w:rsidR="0018700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om te kunnen omgaan met de gevolgen hiervan. </w:t>
      </w:r>
      <w:r w:rsidR="00187002">
        <w:rPr>
          <w:rFonts w:ascii="Times New Roman" w:eastAsia="Times New Roman" w:hAnsi="Times New Roman" w:cs="Times New Roman"/>
          <w:sz w:val="24"/>
          <w:szCs w:val="24"/>
          <w:lang w:eastAsia="nl-NL"/>
        </w:rPr>
        <w:t>Men kan problemen oplossen, besluiten nemen en gevolgen inschatten en kan hierover communiceren met de omgeving.</w:t>
      </w:r>
      <w:r w:rsidR="0041232B">
        <w:t xml:space="preserve"> </w:t>
      </w:r>
    </w:p>
    <w:sectPr w:rsidR="00187002" w:rsidSect="009C584C">
      <w:pgSz w:w="11906" w:h="16838"/>
      <w:pgMar w:top="1258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7002"/>
    <w:rsid w:val="000C1EBC"/>
    <w:rsid w:val="000F4CAB"/>
    <w:rsid w:val="00187002"/>
    <w:rsid w:val="00231DAE"/>
    <w:rsid w:val="00357A71"/>
    <w:rsid w:val="0041232B"/>
    <w:rsid w:val="0043162D"/>
    <w:rsid w:val="004E3BBD"/>
    <w:rsid w:val="005223E0"/>
    <w:rsid w:val="0052310E"/>
    <w:rsid w:val="006E7E88"/>
    <w:rsid w:val="007A2D4B"/>
    <w:rsid w:val="007E4C94"/>
    <w:rsid w:val="00883283"/>
    <w:rsid w:val="00960D8A"/>
    <w:rsid w:val="009C584C"/>
    <w:rsid w:val="00C11634"/>
    <w:rsid w:val="00C340B3"/>
    <w:rsid w:val="00CC4B21"/>
    <w:rsid w:val="00CE3D79"/>
    <w:rsid w:val="00D137AB"/>
    <w:rsid w:val="00F17DD4"/>
    <w:rsid w:val="00F800AC"/>
    <w:rsid w:val="00F90774"/>
    <w:rsid w:val="00FB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40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8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0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chart" Target="charts/chart1.xml"/><Relationship Id="rId9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werkblad1111111111111111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NL"/>
  <c:style val="11"/>
  <c:chart>
    <c:title>
      <c:tx>
        <c:rich>
          <a:bodyPr/>
          <a:lstStyle/>
          <a:p>
            <a:pPr>
              <a:defRPr>
                <a:solidFill>
                  <a:srgbClr val="16908C"/>
                </a:solidFill>
              </a:defRPr>
            </a:pPr>
            <a:r>
              <a:rPr lang="en-US">
                <a:solidFill>
                  <a:srgbClr val="16908C"/>
                </a:solidFill>
              </a:rPr>
              <a:t>De vijf levensgebieden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0.31119000826365123"/>
          <c:y val="0.20403637045369341"/>
          <c:w val="0.37761981220536872"/>
          <c:h val="0.68893138357705319"/>
        </c:manualLayout>
      </c:layout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Levensgebieden</c:v>
                </c:pt>
              </c:strCache>
            </c:strRef>
          </c:tx>
          <c:dLbls>
            <c:dLbl>
              <c:idx val="0"/>
              <c:layout>
                <c:manualLayout>
                  <c:x val="4.0380176510522794E-2"/>
                  <c:y val="-2.2425479643327445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Wonen</a:t>
                    </a:r>
                  </a:p>
                </c:rich>
              </c:tx>
              <c:dLblPos val="bestFit"/>
              <c:showCatName val="1"/>
            </c:dLbl>
            <c:dLbl>
              <c:idx val="1"/>
              <c:layout>
                <c:manualLayout>
                  <c:x val="4.1644936949072807E-2"/>
                  <c:y val="1.5631379410907058E-3"/>
                </c:manualLayout>
              </c:layout>
              <c:tx>
                <c:rich>
                  <a:bodyPr/>
                  <a:lstStyle/>
                  <a:p>
                    <a:pPr>
                      <a:defRPr sz="1100" b="1"/>
                    </a:pPr>
                    <a:r>
                      <a:rPr lang="en-US" sz="1100" b="1"/>
                      <a:t>Financiën</a:t>
                    </a:r>
                  </a:p>
                </c:rich>
              </c:tx>
              <c:spPr/>
              <c:dLblPos val="bestFit"/>
              <c:showCatName val="1"/>
            </c:dLbl>
            <c:dLbl>
              <c:idx val="2"/>
              <c:layout>
                <c:manualLayout>
                  <c:x val="3.6011250383678351E-3"/>
                  <c:y val="7.3813551083892481E-2"/>
                </c:manualLayout>
              </c:layout>
              <c:tx>
                <c:rich>
                  <a:bodyPr/>
                  <a:lstStyle/>
                  <a:p>
                    <a:pPr>
                      <a:defRPr sz="1100" b="1"/>
                    </a:pPr>
                    <a:r>
                      <a:rPr lang="nl-NL" sz="1100" b="1"/>
                      <a:t>Daginvulling</a:t>
                    </a:r>
                    <a:endParaRPr lang="en-US" sz="1100" b="1"/>
                  </a:p>
                </c:rich>
              </c:tx>
              <c:spPr/>
              <c:dLblPos val="bestFit"/>
              <c:showCatName val="1"/>
            </c:dLbl>
            <c:dLbl>
              <c:idx val="3"/>
              <c:layout>
                <c:manualLayout>
                  <c:x val="-5.8094092617241876E-2"/>
                  <c:y val="4.4893378226711919E-3"/>
                </c:manualLayout>
              </c:layout>
              <c:tx>
                <c:rich>
                  <a:bodyPr/>
                  <a:lstStyle/>
                  <a:p>
                    <a:pPr>
                      <a:defRPr sz="1100" b="1"/>
                    </a:pPr>
                    <a:r>
                      <a:rPr lang="en-US" sz="1100" b="1"/>
                      <a:t>Relaties</a:t>
                    </a:r>
                  </a:p>
                </c:rich>
              </c:tx>
              <c:spPr/>
              <c:dLblPos val="bestFit"/>
              <c:showCatName val="1"/>
            </c:dLbl>
            <c:dLbl>
              <c:idx val="4"/>
              <c:layout>
                <c:manualLayout>
                  <c:x val="-5.3797328287120992E-2"/>
                  <c:y val="-3.0944263280221412E-2"/>
                </c:manualLayout>
              </c:layout>
              <c:tx>
                <c:rich>
                  <a:bodyPr/>
                  <a:lstStyle/>
                  <a:p>
                    <a:pPr>
                      <a:defRPr sz="1100" b="1"/>
                    </a:pPr>
                    <a:r>
                      <a:rPr lang="en-US" sz="1100" b="1"/>
                      <a:t>Zorg</a:t>
                    </a:r>
                  </a:p>
                </c:rich>
              </c:tx>
              <c:spPr/>
              <c:dLblPos val="bestFit"/>
              <c:showCatName val="1"/>
            </c:dLbl>
            <c:dLbl>
              <c:idx val="5"/>
              <c:layout>
                <c:manualLayout>
                  <c:x val="-1.0875475802066424E-2"/>
                  <c:y val="7.2750482331545741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Sociaal </a:t>
                    </a:r>
                  </a:p>
                  <a:p>
                    <a:r>
                      <a:rPr lang="en-US"/>
                      <a:t>functioneren</a:t>
                    </a:r>
                  </a:p>
                </c:rich>
              </c:tx>
              <c:dLblPos val="bestFit"/>
              <c:showCatName val="1"/>
            </c:dLbl>
            <c:dLbl>
              <c:idx val="6"/>
              <c:layout>
                <c:manualLayout>
                  <c:x val="-1.087547580206644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Psychisch </a:t>
                    </a:r>
                  </a:p>
                  <a:p>
                    <a:r>
                      <a:rPr lang="en-US"/>
                      <a:t>functioneren en verslaving</a:t>
                    </a:r>
                  </a:p>
                </c:rich>
              </c:tx>
              <c:dLblPos val="bestFit"/>
              <c:showCatName val="1"/>
            </c:dLbl>
            <c:dLbl>
              <c:idx val="7"/>
              <c:layout>
                <c:manualLayout>
                  <c:x val="-4.1839051555681392E-2"/>
                  <c:y val="2.03963927585974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Levens-</a:t>
                    </a:r>
                  </a:p>
                  <a:p>
                    <a:r>
                      <a:rPr lang="en-US"/>
                      <a:t>overtuiging en justitie</a:t>
                    </a:r>
                  </a:p>
                </c:rich>
              </c:tx>
              <c:dLblPos val="bestFit"/>
              <c:showCatName val="1"/>
            </c:dLbl>
            <c:dLblPos val="outEnd"/>
            <c:showCatName val="1"/>
            <c:showLeaderLines val="1"/>
          </c:dLbls>
          <c:cat>
            <c:strRef>
              <c:f>Blad1!$A$2:$A$9</c:f>
              <c:strCache>
                <c:ptCount val="5"/>
                <c:pt idx="0">
                  <c:v>1e kwrt</c:v>
                </c:pt>
                <c:pt idx="1">
                  <c:v>2e kwrt</c:v>
                </c:pt>
                <c:pt idx="2">
                  <c:v>3e kwrt</c:v>
                </c:pt>
                <c:pt idx="3">
                  <c:v>4e kwrt</c:v>
                </c:pt>
                <c:pt idx="4">
                  <c:v>5e kwrt</c:v>
                </c:pt>
              </c:strCache>
            </c:strRef>
          </c:cat>
          <c:val>
            <c:numRef>
              <c:f>Blad1!$B$2:$B$9</c:f>
              <c:numCache>
                <c:formatCode>General</c:formatCode>
                <c:ptCount val="8"/>
                <c:pt idx="0">
                  <c:v>12.5</c:v>
                </c:pt>
                <c:pt idx="1">
                  <c:v>12.5</c:v>
                </c:pt>
                <c:pt idx="2">
                  <c:v>12.5</c:v>
                </c:pt>
                <c:pt idx="3">
                  <c:v>12.5</c:v>
                </c:pt>
                <c:pt idx="4">
                  <c:v>12.5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9</cp:revision>
  <cp:lastPrinted>2017-07-09T17:58:00Z</cp:lastPrinted>
  <dcterms:created xsi:type="dcterms:W3CDTF">2017-07-07T20:37:00Z</dcterms:created>
  <dcterms:modified xsi:type="dcterms:W3CDTF">2017-07-09T17:58:00Z</dcterms:modified>
</cp:coreProperties>
</file>